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gminie Iława 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 w tym kwota brutto nadzorowanych robót budowlanych)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usług,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2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4C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gminie Iława”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hd w:fill="ffffff" w:val="clear"/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osobami  niezbędnymi do realizacji zamówienia  w szczególności odpowiedzialnymi za świadczenie usług w następującym składzie:</w:t>
      </w:r>
    </w:p>
    <w:p w:rsidR="00000000" w:rsidDel="00000000" w:rsidP="00000000" w:rsidRDefault="00000000" w:rsidRPr="00000000" w14:paraId="0000004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5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5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52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telekomunikacyjnej i będąca członkiem odpowiedniej izby samorządu zawodowego,</w:t>
      </w:r>
    </w:p>
    <w:p w:rsidR="00000000" w:rsidDel="00000000" w:rsidP="00000000" w:rsidRDefault="00000000" w:rsidRPr="00000000" w14:paraId="00000053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drogowej i będąca członkiem odpowiedniej izby samorządu zawodowego.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-622.0000000000005" w:tblpY="0"/>
        <w:tblW w:w="10215.0" w:type="dxa"/>
        <w:jc w:val="left"/>
        <w:tblInd w:w="2.0" w:type="dxa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7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7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c1c2BXwm95qKQ2due9caz2elXw==">CgMxLjAyDmguODluejVoOTE2MmlhOABqIwoUc3VnZ2VzdC5sbWZwdDZ5YWZqaDESC0thcm9sIE5vd2FraiMKFHN1Z2dlc3Qua3kwNzJlbXdieGNkEgtLYXJvbCBOb3dha2ojChRzdWdnZXN0LmY4ZnVwdGNrbXY4YRILS2Fyb2wgTm93YWtqIwoUc3VnZ2VzdC5mdGIzeW9uZGpsb3oSC0thcm9sIE5vd2FrciExN1U3WW5PeUFBMk5uTWVxZFFwb185eVhtVU1BY19ua1Y=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